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/>
        <w:jc w:val="center"/>
      </w:pPr>
      <w:r>
        <w:rPr>
          <w:rFonts w:ascii="Arial" w:cs="Arial" w:eastAsia="Arial" w:hAnsi="Arial"/>
          <w:b/>
          <w:bCs/>
          <w:i w:val="false"/>
          <w:iCs w:val="false"/>
          <w:sz w:val="24"/>
          <w:szCs w:val="24"/>
        </w:rPr>
        <w:t xml:space="preserve">HANNINGTON PARISH COUNCIL</w:t>
      </w:r>
    </w:p>
    <w:p>
      <w:pPr>
        <w:spacing w:after="60" w:before="60"/>
        <w:jc w:val="center"/>
      </w:pPr>
      <w:r>
        <w:rPr>
          <w:rFonts w:ascii="Arial" w:cs="Arial" w:eastAsia="Arial" w:hAnsi="Arial"/>
          <w:b/>
          <w:bCs/>
          <w:i w:val="false"/>
          <w:iCs w:val="false"/>
          <w:sz w:val="22"/>
          <w:szCs w:val="22"/>
        </w:rPr>
        <w:t xml:space="preserve">Data Breach Register</w:t>
      </w:r>
    </w:p>
    <w:p>
      <w:pPr>
        <w:spacing w:after="60" w:before="60"/>
        <w:jc w:val="center"/>
      </w:pPr>
      <w:r>
        <w:rPr>
          <w:rFonts w:ascii="Arial" w:cs="Arial" w:eastAsia="Arial" w:hAnsi="Arial"/>
          <w:b w:val="false"/>
          <w:bCs w:val="false"/>
          <w:i/>
          <w:iCs/>
          <w:sz w:val="18"/>
          <w:szCs w:val="18"/>
        </w:rPr>
        <w:t xml:space="preserve">Maintained by: Clerk to Hannington Parish Council  |  Established: May 2026</w:t>
      </w:r>
    </w:p>
    <w:p>
      <w:pPr>
        <w:spacing w:after="200" w:before="60"/>
        <w:jc w:val="center"/>
      </w:pPr>
      <w:r>
        <w:rPr>
          <w:rFonts w:ascii="Arial" w:cs="Arial" w:eastAsia="Arial" w:hAnsi="Arial"/>
          <w:b w:val="false"/>
          <w:bCs w:val="false"/>
          <w:i/>
          <w:iCs/>
          <w:sz w:val="18"/>
          <w:szCs w:val="18"/>
        </w:rPr>
        <w:t xml:space="preserve">As at May 2026: No data breaches have been recorded.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000"/>
        <w:gridCol w:w="1500"/>
        <w:gridCol w:w="1400"/>
        <w:gridCol w:w="1300"/>
        <w:gridCol w:w="1400"/>
        <w:gridCol w:w="1200"/>
        <w:gridCol w:w="1200"/>
        <w:gridCol w:w="900"/>
      </w:tblGrid>
      <w:tr>
        <w:trPr>
          <w:tblHeader/>
        </w:trPr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B5394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Ref No.</w:t>
            </w:r>
          </w:p>
        </w:tc>
        <w:tc>
          <w:tcPr>
            <w:tcW w:type="dxa" w:w="1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B5394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Date Identified</w:t>
            </w:r>
          </w:p>
        </w:tc>
        <w:tc>
          <w:tcPr>
            <w:tcW w:type="dxa" w:w="1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B5394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Description of Breach</w:t>
            </w:r>
          </w:p>
        </w:tc>
        <w:tc>
          <w:tcPr>
            <w:tcW w:type="dxa" w:w="1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B5394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Data / Individuals Affected</w:t>
            </w:r>
          </w:p>
        </w:tc>
        <w:tc>
          <w:tcPr>
            <w:tcW w:type="dxa" w:w="1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B5394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Likely Consequences</w:t>
            </w:r>
          </w:p>
        </w:tc>
        <w:tc>
          <w:tcPr>
            <w:tcW w:type="dxa" w:w="1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B5394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Steps Taken to Address</w:t>
            </w:r>
          </w:p>
        </w:tc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B5394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Reported to ICO? (Y/N, date, ref)</w:t>
            </w:r>
          </w:p>
        </w:tc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B5394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Individuals Notified? (Y/N, date)</w:t>
            </w:r>
          </w:p>
        </w:tc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B5394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Signed off by Clerk</w:t>
            </w:r>
          </w:p>
        </w:tc>
      </w:tr>
      <w:tr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EF2F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b/>
          <w:bCs/>
          <w:i w:val="false"/>
          <w:iCs w:val="false"/>
          <w:sz w:val="20"/>
          <w:szCs w:val="20"/>
        </w:rPr>
        <w:t xml:space="preserve">Notes:</w:t>
      </w:r>
    </w:p>
    <w:p>
      <w:pP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18"/>
          <w:szCs w:val="18"/>
        </w:rPr>
        <w:t xml:space="preserve">1.  All data breaches must be recorded in this register, regardless of whether they are reported to the ICO.</w:t>
      </w:r>
    </w:p>
    <w:p>
      <w:pP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18"/>
          <w:szCs w:val="18"/>
        </w:rPr>
        <w:t xml:space="preserve">2.  Breaches likely to result in a risk to individuals' rights and freedoms must be reported to the ICO within 72 hours.</w:t>
      </w:r>
    </w:p>
    <w:p>
      <w:pP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18"/>
          <w:szCs w:val="18"/>
        </w:rPr>
        <w:t xml:space="preserve">3.  Breaches likely to result in a HIGH risk to individuals' rights and freedoms must also be notified to the affected individuals without undue delay.</w:t>
      </w:r>
    </w:p>
    <w:p>
      <w:pP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18"/>
          <w:szCs w:val="18"/>
        </w:rPr>
        <w:t xml:space="preserve">4.  This register is an internal document available to the internal and external auditors. It does not need to be published on the council's website.</w:t>
      </w:r>
    </w:p>
    <w:p>
      <w:pP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18"/>
          <w:szCs w:val="18"/>
        </w:rPr>
        <w:t xml:space="preserve">5.  ICO reporting: www.ico.org.uk/make-a-complaint/data-security-concerns/ | Helpline: 0303 123 1113</w:t>
      </w:r>
    </w:p>
    <w:p>
      <w:pPr>
        <w:spacing w:after="0" w:before="8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b w:val="false"/>
          <w:bCs w:val="false"/>
          <w:i/>
          <w:iCs/>
          <w:sz w:val="18"/>
          <w:szCs w:val="18"/>
        </w:rPr>
        <w:t xml:space="preserve">Register last reviewed: May 2026</w:t>
      </w:r>
    </w:p>
    <w:sectPr>
      <w:pgSz w:w="16838" w:h="11906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00" w:before="240"/>
    </w:pPr>
    <w:rPr>
      <w:rFonts w:ascii="Arial" w:cs="Arial" w:eastAsia="Arial" w:hAnsi="Arial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2026-05-04T16:51:29.072Z</dcterms:created>
  <dcterms:modified xsi:type="dcterms:W3CDTF">2026-05-04T16:51:29.072Z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